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Wyndham</w:t>
      </w:r>
    </w:p>
    <w:p w:rsidR="001A6775">
      <w:pPr>
        <w:pStyle w:val="Heading4"/>
        <w:bidi w:val="0"/>
        <w:spacing w:after="280" w:afterAutospacing="1"/>
      </w:pPr>
      <w:r>
        <w:rPr>
          <w:rtl w:val="0"/>
        </w:rPr>
        <w:t>Residential development</w:t>
      </w:r>
    </w:p>
    <w:p w:rsidR="001A6775">
      <w:pPr>
        <w:bidi w:val="0"/>
        <w:spacing w:after="280" w:afterAutospacing="1"/>
      </w:pPr>
      <w:r>
        <w:rPr>
          <w:rtl w:val="0"/>
        </w:rPr>
        <w:t>The addition of dwellings to the housing stock is a major driver of population growth in an area, providing opportunities for households to relocate from other areas or new households to form locally (such as young people leaving the family home or separations/divorces).</w:t>
      </w:r>
    </w:p>
    <w:p>
      <w:pPr>
        <w:bidi w:val="0"/>
        <w:spacing w:after="280" w:afterAutospacing="1"/>
        <w:rPr>
          <w:rtl w:val="0"/>
        </w:rPr>
      </w:pPr>
      <w:r>
        <w:rPr>
          <w:rtl w:val="0"/>
        </w:rPr>
        <w:t>Residential development can take various forms depending on the availability of land. These include new housing estates on greenfield sites, subdivision in existing residential neighbourhoods (often called infill development), conversion of industrial lands to residential lands, and densification of housing by building up.</w:t>
      </w:r>
    </w:p>
    <w:p>
      <w:pPr>
        <w:bidi w:val="0"/>
        <w:spacing w:after="280" w:afterAutospacing="1"/>
        <w:rPr>
          <w:rtl w:val="0"/>
        </w:rPr>
      </w:pPr>
      <w:r>
        <w:rPr>
          <w:rtl w:val="0"/>
        </w:rPr>
        <w:t>This table shows the quantity of new development assumed in each small area in the City of Wyndham. Select each small area to see detailed assumptions.</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Forecast residential development, 2021 to 2041</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City of Wyndham</w:t>
            </w:r>
          </w:p>
        </w:tc>
        <w:tc>
          <w:tcPr>
            <w:hMerge w:val="restart"/>
          </w:tcPr>
          <w:p w:rsidR="001A6775">
            <w:pPr>
              <w:bidi w:val="0"/>
              <w:spacing w:after="0" w:afterAutospacing="1"/>
              <w:jc w:val="center"/>
              <w:rPr>
                <w:b/>
                <w:sz w:val="20"/>
              </w:rPr>
            </w:pPr>
            <w:r>
              <w:rPr>
                <w:b/>
                <w:sz w:val="30"/>
              </w:rPr>
              <w:t>Change in dwellings between 2021 and 2041</w:t>
            </w: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Area</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City of Wyndham</w:t>
            </w:r>
          </w:p>
        </w:tc>
        <w:tc>
          <w:tcPr>
            <w:vAlign w:val="center"/>
          </w:tcPr>
          <w:p w:rsidR="001A6775">
            <w:pPr>
              <w:bidi w:val="0"/>
              <w:spacing w:after="0" w:afterAutospacing="1"/>
              <w:jc w:val="right"/>
              <w:rPr>
                <w:b w:val="0"/>
                <w:sz w:val="20"/>
              </w:rPr>
            </w:pPr>
            <w:r>
              <w:rPr>
                <w:b w:val="0"/>
                <w:sz w:val="20"/>
              </w:rPr>
              <w:t>+76,781</w:t>
            </w:r>
          </w:p>
        </w:tc>
        <w:tc>
          <w:tcPr>
            <w:vAlign w:val="center"/>
          </w:tcPr>
          <w:p w:rsidR="001A6775">
            <w:pPr>
              <w:bidi w:val="0"/>
              <w:spacing w:after="0" w:afterAutospacing="1"/>
              <w:jc w:val="right"/>
              <w:rPr>
                <w:b w:val="0"/>
                <w:sz w:val="20"/>
              </w:rPr>
            </w:pPr>
            <w:r>
              <w:rPr>
                <w:b w:val="0"/>
                <w:sz w:val="20"/>
              </w:rPr>
              <w:t>+76.5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Hoppers Crossing (locality)</w:t>
            </w:r>
          </w:p>
        </w:tc>
        <w:tc>
          <w:tcPr>
            <w:vAlign w:val="center"/>
          </w:tcPr>
          <w:p w:rsidR="001A6775">
            <w:pPr>
              <w:bidi w:val="0"/>
              <w:spacing w:after="0" w:afterAutospacing="1"/>
              <w:jc w:val="right"/>
              <w:rPr>
                <w:b w:val="0"/>
                <w:sz w:val="20"/>
              </w:rPr>
            </w:pPr>
            <w:r>
              <w:rPr>
                <w:b w:val="0"/>
                <w:sz w:val="20"/>
              </w:rPr>
              <w:t>+525</w:t>
            </w:r>
          </w:p>
        </w:tc>
        <w:tc>
          <w:tcPr>
            <w:vAlign w:val="center"/>
          </w:tcPr>
          <w:p w:rsidR="001A6775">
            <w:pPr>
              <w:bidi w:val="0"/>
              <w:spacing w:after="0" w:afterAutospacing="1"/>
              <w:jc w:val="right"/>
              <w:rPr>
                <w:b w:val="0"/>
                <w:sz w:val="20"/>
              </w:rPr>
            </w:pPr>
            <w:r>
              <w:rPr>
                <w:b w:val="0"/>
                <w:sz w:val="20"/>
              </w:rPr>
              <w:t>+3.8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Little River - Rural West (locality)</w:t>
            </w:r>
          </w:p>
        </w:tc>
        <w:tc>
          <w:tcPr>
            <w:vAlign w:val="center"/>
          </w:tcPr>
          <w:p w:rsidR="001A6775">
            <w:pPr>
              <w:bidi w:val="0"/>
              <w:spacing w:after="0" w:afterAutospacing="1"/>
              <w:jc w:val="right"/>
              <w:rPr>
                <w:b w:val="0"/>
                <w:sz w:val="20"/>
              </w:rPr>
            </w:pPr>
            <w:r>
              <w:rPr>
                <w:b w:val="0"/>
                <w:sz w:val="20"/>
              </w:rPr>
              <w:t>+1,546</w:t>
            </w:r>
          </w:p>
        </w:tc>
        <w:tc>
          <w:tcPr>
            <w:vAlign w:val="center"/>
          </w:tcPr>
          <w:p w:rsidR="001A6775">
            <w:pPr>
              <w:bidi w:val="0"/>
              <w:spacing w:after="0" w:afterAutospacing="1"/>
              <w:jc w:val="right"/>
              <w:rPr>
                <w:b w:val="0"/>
                <w:sz w:val="20"/>
              </w:rPr>
            </w:pPr>
            <w:r>
              <w:rPr>
                <w:b w:val="0"/>
                <w:sz w:val="20"/>
              </w:rPr>
              <w:t>+518.3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Manor Lakes (locality)</w:t>
            </w:r>
          </w:p>
        </w:tc>
        <w:tc>
          <w:tcPr>
            <w:vAlign w:val="center"/>
          </w:tcPr>
          <w:p w:rsidR="001A6775">
            <w:pPr>
              <w:bidi w:val="0"/>
              <w:spacing w:after="0" w:afterAutospacing="1"/>
              <w:jc w:val="right"/>
              <w:rPr>
                <w:b w:val="0"/>
                <w:sz w:val="20"/>
              </w:rPr>
            </w:pPr>
            <w:r>
              <w:rPr>
                <w:b w:val="0"/>
                <w:sz w:val="20"/>
              </w:rPr>
              <w:t>+10,688</w:t>
            </w:r>
          </w:p>
        </w:tc>
        <w:tc>
          <w:tcPr>
            <w:vAlign w:val="center"/>
          </w:tcPr>
          <w:p w:rsidR="001A6775">
            <w:pPr>
              <w:bidi w:val="0"/>
              <w:spacing w:after="0" w:afterAutospacing="1"/>
              <w:jc w:val="right"/>
              <w:rPr>
                <w:b w:val="0"/>
                <w:sz w:val="20"/>
              </w:rPr>
            </w:pPr>
            <w:r>
              <w:rPr>
                <w:b w:val="0"/>
                <w:sz w:val="20"/>
              </w:rPr>
              <w:t>+304.6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Point Cook (locality)</w:t>
            </w:r>
          </w:p>
        </w:tc>
        <w:tc>
          <w:tcPr>
            <w:vAlign w:val="center"/>
          </w:tcPr>
          <w:p w:rsidR="001A6775">
            <w:pPr>
              <w:bidi w:val="0"/>
              <w:spacing w:after="0" w:afterAutospacing="1"/>
              <w:jc w:val="right"/>
              <w:rPr>
                <w:b w:val="0"/>
                <w:sz w:val="20"/>
              </w:rPr>
            </w:pPr>
            <w:r>
              <w:rPr>
                <w:b w:val="0"/>
                <w:sz w:val="20"/>
              </w:rPr>
              <w:t>+5,678</w:t>
            </w:r>
          </w:p>
        </w:tc>
        <w:tc>
          <w:tcPr>
            <w:vAlign w:val="center"/>
          </w:tcPr>
          <w:p w:rsidR="001A6775">
            <w:pPr>
              <w:bidi w:val="0"/>
              <w:spacing w:after="0" w:afterAutospacing="1"/>
              <w:jc w:val="right"/>
              <w:rPr>
                <w:b w:val="0"/>
                <w:sz w:val="20"/>
              </w:rPr>
            </w:pPr>
            <w:r>
              <w:rPr>
                <w:b w:val="0"/>
                <w:sz w:val="20"/>
              </w:rPr>
              <w:t>+25.2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Tarneit (locality)</w:t>
            </w:r>
          </w:p>
        </w:tc>
        <w:tc>
          <w:tcPr>
            <w:vAlign w:val="center"/>
          </w:tcPr>
          <w:p w:rsidR="001A6775">
            <w:pPr>
              <w:bidi w:val="0"/>
              <w:spacing w:after="0" w:afterAutospacing="1"/>
              <w:jc w:val="right"/>
              <w:rPr>
                <w:b w:val="0"/>
                <w:sz w:val="20"/>
              </w:rPr>
            </w:pPr>
            <w:r>
              <w:rPr>
                <w:b w:val="0"/>
                <w:sz w:val="20"/>
              </w:rPr>
              <w:t>+27,843</w:t>
            </w:r>
          </w:p>
        </w:tc>
        <w:tc>
          <w:tcPr>
            <w:vAlign w:val="center"/>
          </w:tcPr>
          <w:p w:rsidR="001A6775">
            <w:pPr>
              <w:bidi w:val="0"/>
              <w:spacing w:after="0" w:afterAutospacing="1"/>
              <w:jc w:val="right"/>
              <w:rPr>
                <w:b w:val="0"/>
                <w:sz w:val="20"/>
              </w:rPr>
            </w:pPr>
            <w:r>
              <w:rPr>
                <w:b w:val="0"/>
                <w:sz w:val="20"/>
              </w:rPr>
              <w:t>+189.8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Truganina (locality)</w:t>
            </w:r>
          </w:p>
        </w:tc>
        <w:tc>
          <w:tcPr>
            <w:vAlign w:val="center"/>
          </w:tcPr>
          <w:p w:rsidR="001A6775">
            <w:pPr>
              <w:bidi w:val="0"/>
              <w:spacing w:after="0" w:afterAutospacing="1"/>
              <w:jc w:val="right"/>
              <w:rPr>
                <w:b w:val="0"/>
                <w:sz w:val="20"/>
              </w:rPr>
            </w:pPr>
            <w:r>
              <w:rPr>
                <w:b w:val="0"/>
                <w:sz w:val="20"/>
              </w:rPr>
              <w:t>+6,189</w:t>
            </w:r>
          </w:p>
        </w:tc>
        <w:tc>
          <w:tcPr>
            <w:vAlign w:val="center"/>
          </w:tcPr>
          <w:p w:rsidR="001A6775">
            <w:pPr>
              <w:bidi w:val="0"/>
              <w:spacing w:after="0" w:afterAutospacing="1"/>
              <w:jc w:val="right"/>
              <w:rPr>
                <w:b w:val="0"/>
                <w:sz w:val="20"/>
              </w:rPr>
            </w:pPr>
            <w:r>
              <w:rPr>
                <w:b w:val="0"/>
                <w:sz w:val="20"/>
              </w:rPr>
              <w:t>+57.6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Werribee (locality)</w:t>
            </w:r>
          </w:p>
        </w:tc>
        <w:tc>
          <w:tcPr>
            <w:vAlign w:val="center"/>
          </w:tcPr>
          <w:p w:rsidR="001A6775">
            <w:pPr>
              <w:bidi w:val="0"/>
              <w:spacing w:after="0" w:afterAutospacing="1"/>
              <w:jc w:val="right"/>
              <w:rPr>
                <w:b w:val="0"/>
                <w:sz w:val="20"/>
              </w:rPr>
            </w:pPr>
            <w:r>
              <w:rPr>
                <w:b w:val="0"/>
                <w:sz w:val="20"/>
              </w:rPr>
              <w:t>+15,415</w:t>
            </w:r>
          </w:p>
        </w:tc>
        <w:tc>
          <w:tcPr>
            <w:vAlign w:val="center"/>
          </w:tcPr>
          <w:p w:rsidR="001A6775">
            <w:pPr>
              <w:bidi w:val="0"/>
              <w:spacing w:after="0" w:afterAutospacing="1"/>
              <w:jc w:val="right"/>
              <w:rPr>
                <w:b w:val="0"/>
                <w:sz w:val="20"/>
              </w:rPr>
            </w:pPr>
            <w:r>
              <w:rPr>
                <w:b w:val="0"/>
                <w:sz w:val="20"/>
              </w:rPr>
              <w:t>+77.6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Werribee South (locality)</w:t>
            </w:r>
          </w:p>
        </w:tc>
        <w:tc>
          <w:tcPr>
            <w:vAlign w:val="center"/>
          </w:tcPr>
          <w:p w:rsidR="001A6775">
            <w:pPr>
              <w:bidi w:val="0"/>
              <w:spacing w:after="0" w:afterAutospacing="1"/>
              <w:jc w:val="right"/>
              <w:rPr>
                <w:b w:val="0"/>
                <w:sz w:val="20"/>
              </w:rPr>
            </w:pPr>
            <w:r>
              <w:rPr>
                <w:b w:val="0"/>
                <w:sz w:val="20"/>
              </w:rPr>
              <w:t>+76</w:t>
            </w:r>
          </w:p>
        </w:tc>
        <w:tc>
          <w:tcPr>
            <w:vAlign w:val="center"/>
          </w:tcPr>
          <w:p w:rsidR="001A6775">
            <w:pPr>
              <w:bidi w:val="0"/>
              <w:spacing w:after="0" w:afterAutospacing="1"/>
              <w:jc w:val="right"/>
              <w:rPr>
                <w:b w:val="0"/>
                <w:sz w:val="20"/>
              </w:rPr>
            </w:pPr>
            <w:r>
              <w:rPr>
                <w:b w:val="0"/>
                <w:sz w:val="20"/>
              </w:rPr>
              <w:t>+6.5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Williams Landing - Laverton North (locality)</w:t>
            </w:r>
          </w:p>
        </w:tc>
        <w:tc>
          <w:tcPr>
            <w:vAlign w:val="center"/>
          </w:tcPr>
          <w:p w:rsidR="001A6775">
            <w:pPr>
              <w:bidi w:val="0"/>
              <w:spacing w:after="0" w:afterAutospacing="1"/>
              <w:jc w:val="right"/>
              <w:rPr>
                <w:b w:val="0"/>
                <w:sz w:val="20"/>
              </w:rPr>
            </w:pPr>
            <w:r>
              <w:rPr>
                <w:b w:val="0"/>
                <w:sz w:val="20"/>
              </w:rPr>
              <w:t>+834</w:t>
            </w:r>
          </w:p>
        </w:tc>
        <w:tc>
          <w:tcPr>
            <w:vAlign w:val="center"/>
          </w:tcPr>
          <w:p w:rsidR="001A6775">
            <w:pPr>
              <w:bidi w:val="0"/>
              <w:spacing w:after="0" w:afterAutospacing="1"/>
              <w:jc w:val="right"/>
              <w:rPr>
                <w:b w:val="0"/>
                <w:sz w:val="20"/>
              </w:rPr>
            </w:pPr>
            <w:r>
              <w:rPr>
                <w:b w:val="0"/>
                <w:sz w:val="20"/>
              </w:rPr>
              <w:t>+25.4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Wyndham Vale (locality)</w:t>
            </w:r>
          </w:p>
        </w:tc>
        <w:tc>
          <w:tcPr>
            <w:vAlign w:val="center"/>
          </w:tcPr>
          <w:p w:rsidR="001A6775">
            <w:pPr>
              <w:bidi w:val="0"/>
              <w:spacing w:after="0" w:afterAutospacing="1"/>
              <w:jc w:val="right"/>
              <w:rPr>
                <w:b w:val="0"/>
                <w:sz w:val="20"/>
              </w:rPr>
            </w:pPr>
            <w:r>
              <w:rPr>
                <w:b w:val="0"/>
                <w:sz w:val="20"/>
              </w:rPr>
              <w:t>+7,948</w:t>
            </w:r>
          </w:p>
        </w:tc>
        <w:tc>
          <w:tcPr>
            <w:vAlign w:val="center"/>
          </w:tcPr>
          <w:p w:rsidR="001A6775">
            <w:pPr>
              <w:bidi w:val="0"/>
              <w:spacing w:after="0" w:afterAutospacing="1"/>
              <w:jc w:val="right"/>
              <w:rPr>
                <w:b w:val="0"/>
                <w:sz w:val="20"/>
              </w:rPr>
            </w:pPr>
            <w:r>
              <w:rPr>
                <w:b w:val="0"/>
                <w:sz w:val="20"/>
              </w:rPr>
              <w:t>+100.3</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325pt;width:481pt">
            <v:imagedata r:id="rId5" o:title=""/>
          </v:shape>
        </w:pict>
      </w:r>
    </w:p>
    <w:p w:rsidR="001A6775">
      <w:pPr>
        <w:bidi w:val="0"/>
        <w:spacing w:after="0" w:afterAutospacing="1"/>
        <w:jc w:val="center"/>
      </w:pPr>
    </w:p>
    <w:sectPr w:rsidSect="001A67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